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к субсидиарной ответственности по обязательствам должника ФИО2 и ФИО3 в размере 77 131 331 рубля 57 копеек. Определением Арбитражного суда Ивановской области от 26.02.2019, оставленным без изменения постановлениями Второго арбитражного апелляционного суда от 15.05.2019 и Арбитражного суда Волго-Вятского округа от 01.10.2019, заявление конкурсного управляющего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129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совокупности условий наступления субсидиарной ответственности ФИО4 и ФИО3, ввиду недоказанности наличия у должника по состоянию на 04.12.2016 признаков неплатёжеспособности и (или) недостаточности имущества, а также несоблюдения названными лицами требований законодательства о банкротстве.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Калужскому газовому и энергетическому акционерному банку «Газэнергобанк» (акционерное общество)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