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06.03.2019, оставленным без изменения постановлением Четвертого арбитражного апелляционного суда от 17.07.2019, исковые требования удовлетворены. Арбитражный суд Восточно-Сибирского округа постановлением от 01.10.2019 решение от 06.03.2019 и постановление Четвертого арбитражного апелляционного суда от 17.07.2019 оставил без изменения. В кассационной жалобе общество «Росгоссстрах» просит о пересмотре судебных актов как нарушающих условия договора страхования.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дела, представленные и собранные доказательства, установили наступление страхового случая и размер подлежащих возмещению убытков. Довод о неисполнении страхователем условий договора о представлении страховщику остатков поврежденного имущества до утилизации был предметом рассмотрения суда апелляционной инстанции и отклонен как противоречащий действиям страхователя.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«Страховая компания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