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28.03.2019, оставленным без изменения постановлением Четвертого арбитражного апелляционного суда от 06.06.2019 и постановлением Арбитражного суда Восточно-Сибирского округа от 03.09.2019,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ходе выездной проверки общества (застройщик) службой надзора установлено нарушение требований статей 52 , 53 , 55.8 Градостроительного кодекса Российской Федерации (далееГрадостроительный кодекс) в части осуществления строительного контроля при строительстве объекта в отсутствие членства в саморегулируемой организации в области строительства, реконструкции, капитального ремонта объектов капитального строительства. В целях устранения нарушений выдано предписание, которое оспорено обществом в арбитражный суд. Оценив представленные в материалы дела доказательства, суды, руководствуясь положениями статей 52 , 53 , 55.8 Градостроительного кодекса , Федеральным законом от 03.07.2016 № 372-ФЗ «О внесении изменений в Градостроительный кодекс Российской Федерации и отдельные законодательные акты Российской Федерации», Перечнем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утвержденным приказом Министерства регионального развития Российской Федерации от 30.12.2009 № 624, пришли к выводу о наличии у службы надзора правовых оснований для вынесения предписания ввиду доказанности неправомерного освидетельствования скрытых работ в отсутствие в списке членов саморегулируемых организаций. Судебные инстанции исходили из того, что общество является застройщиком объекта капитального строительства и освидетельствовало работы, которые оказывают влияние на безопасность объекта капитального строительства, подписывало акты освидетельствования ответственных конструкций, следовательно, осуществляло функции застройщика и технического заказчика по осуществлению строительного контроля. Вместе с тем деятельность по осуществлению строительного контроля является деятельностью по строительству объектов капитального строительства, которую может осуществлять только лицо, являющееся членом саморегулируемой организации в области строительства, реконструкции, капитального ремонта объектов капитального строительства. При этом договор о строительстве объекта капитального строительства с техническим заказчиком, являющимся членом саморегулируемой организации, не представлен, что свидетельствует о самостоятельном ведении строительства застройщиком. Доводы, изложенные в кассационной жалобе, повторяют позицию общества по спору, являлись предметом рассмотрения судов и получили правовую оценку с учетом установленных обстоятельств по делу4. Приведенные доводы не подтверждают наличие существенных нарушений норм материального права и норм процессуального права, которые повлияли на исход судебного разбирательства и не позволили всесторонне, полно и объективно рассмотреть дело,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Иркутскому публичному акционерному обществу энергетики и электрификации «Иркутскэнерго»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