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Волгоградской области от 04.02.2019, оставленным без изменения постановлениями Двенадцатого арбитражного апелляционного суда от 04.06.2019 и Арбитражного суда Поволжского округа от 29.08.2019, завершена процедура реализации имущества должника, ФИО1 освобождён от дальнейшего исполнения имевшихся на дату обращения в суд с заявлением о банкротстве должника требований кредиторов, в том числе требований кредиторов, не заявленных при введении процедуры реализации имущества гражданина, за исключением обязательств перед Российской Федерацией в размере 62 497 750 рублей – ущерб в доход государства. В кассационной жалобе, поданной в Верховный Суд Российской Федерации, заявитель просит отменить указанные судебные акты в части неосвобождения должника от обязательств перед Российской Федерацией в размере 62 497 750 рублей, принять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213.28 Федерального закона от 26.10.2002 № 127-ФЗ «О несостоятельности (банкротстве)», исходил из возникновения обязательств перед Российской Федерацией ввиду совершения должником уголовного преступления, что является основанием для неприменения положений об освобождении от их исполнения. Суды апелляционной инстанции и округа согласились с выводами суда первой инстанции. Выводы судов соответствуют нормам права, оснований для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гражданина ФИО1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