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 Новосибирской области от 23.05.2019, принятым в порядке упрощенного производства и оставленным без изменения постановлением Седьмого арбитражного апелляционного суда от 26.08.2019, исковые требования удовлетворены в части взыскания 10 174 рублей 80 копеек стоимости поврежденного груза и 493 рублей 10 копеек провозной платы. В кассационной жалобе общество «Миратех» просит об отмене судебных актов в неудовлетворенной части иска, ссылаясь на несоответствие выводов судов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перевозки, установили недоказанность повреждения (заморозки) груза в процессе перевозки, поэтому отказали в иске в соответствии со статьями 796 , 801 , 803 Гражданского кодекса Российской Федерации, нормами Федерального закона от 30.06.2003 № 87-ФЗ «О транспортно-экспедиционной деятельности». Доводы заявителя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«Миратех»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