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«АгроТранс» обратилось в Арбитражный суд Белгородской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«Черкизово- Свиноводство» 2 185 624 рублей упущенной выгоды за период с 01.04.2018 по 31.08.2018. Решением Арбитражного суда Белгородской области от 19.03.2019 иск удовлетворен. Постановлением Девятнадцатого арбитражного апелляционного суда от 02.08.2019 решение суда первой инстанции оставлено без изменения. Арбитражный суд Центрального округа постановлением от 15.10.2019 указанные судебные акты оставил без изменения. Общество с ограниченной ответственностью «Черкизово-Свиноводство»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заказчиком согласованного в договоре ежесуточного объема перевозки груза, признав представленный истцом расчет соответствующим положениям договора, руководствуясь статьями 15 , 393 , 431 Гражданского кодекса Российской Федерации, суды пришли к выводу о наличии оснований для удовлетворения иска.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обжалуемых судебных актов, а также нарушений, которые могли привести или привели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«Черкизово- Свиноводство»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