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19.02.2019, оставленным без изменения постановлением Тринадцатого арбитражного апелляционного суда от 19.06.2019 и постановлением Арбитражного суда Северо-Западного округа от 24.09.2019, иск удовлетворен. В кассационной жалобе общество «Евгений и компания» просит о пересмотре указанных судебных актов как незаконных вследствие отсутствия поставочных отношений, пропуска срока исковой давности и принятия ненадлежащих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 итогу исследования и оценки доводов и возражений сторон суды признали доказанным условия, необходимые в силу статей 15 , 393 Гражданского кодекса Российской Федерации для взыскания заявленных расходов в качестве убытков, причиненных в результате поставки ответчиком некачественной бетонной смеси. Наличие между сторонами разовых сделок по передаче-приемке товара установлено на основании представленных накладных (реестров). Соблюдение срока исковой давности с момента выявления покупателем (истцом) некачественности товара признано судом в соответствии со статьей 200 , пунктом 2 статьи 477 Гражданского кодекса Российской Федерации. Требуемое заявителем изменение оценки доказательств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«Евгений и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