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07.03.2019, оставленным без изменения постановлением Десятого арбитражного апелляционного суда от 30.05.2019, в удовлетворении иска отказано. Арбитражный суд Московского округа постановлением от 02.09.2019 решение от 07.03.2019 и постановление Десятого арбитражного апелляционного суда от 30.05.2019 оставил без изменения. В кассационной жалобе общество «Тензор» просит об отмене указанных судебных актов, ссылаясь на нарушение норм процессуального права и неправильное применение общих норм гражданского законодательства об основаниях и последствиях недействительности торгов.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Действия судов, которые заявитель считает процессуальными нарушениями, не влекут изменения судебных актов на стадии кассационного производства исходя из обозначенных оснований. Суды применяют к заявленным правоотношениям нормы права независимо от ссылки на них участников дела. Общие нормы Гражданского кодекса Российской Федерации об организации, основаниях и последствиях торгов (статьи 448, 449) правильно применены к спорным правоотношениям. Суды установили, что искусственное в целях ограничения конкуренции внесение заказчиком в техническое задание излишних требований к объекту закупки, являвшееся основанием заявленного иска, не подтверждено. Установив, что истец заявки на участие в аукционах не подавал, суды правильно указали на отсутствие нарушения его субъективных прав и законных интересов в сфере предпринимательской деятельности итогами аукционов.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«Тензор»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