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«Лаголово» (далее – общество) обратилось в суд с заявлением о включении в реестр требований кредиторов (далее – реестр) требования в размере 947 400 рублей. Определением Арбитражного суда города Санкт-Петербурга и Ленинградской области от 28.09.2018, оставленным без изменения постановлениями Тринадцатого арбитражного апелляционного суда от 06.05.2019 и Арбитражного суда Северо-Западного округа от 20.08.2019, требование признано обоснованным и включено в третью очередь реестра. В кассационной жалобе, поданной в Верховный Суд Российской Федерации, заявитель просит отменить указанные судебный акты, направить обособленный спор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309, 310, 391, 392 Гражданского кодекса Российской Федерации, статей 71 и 100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наличия неисполненных должником обязательств перед обществом, и, как следствие, оснований для включения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Трифонову Максиму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