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12.03.2019 заявленные требования удовлетворены. Постановлением Четвертого арбитражного апелляционного суда от 31.05.2019 решение суда первой инстанции отменено, в удовлетворении заявленных требований отказано. Постановлением Арбитражного суда Восточно-Сибирского округа от 11.09.2019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обжалуемые судебные акты отменить, ссылаясь на допущенные, по его мнению, существенные нарушения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выявленные административным органом обстоятельства, свидетельствующие о нарушении обществом, являющимся получателем субсидий, условий их предоставления, поскольку в спорный период промышленное оборудование по переработке пушнины, кожевенно- мехового сырья, очистные сооружения и химические лаборатории фактически в аренде у общества отсутствовали, договоры аренды обществом заключены формально. Оставляя без изменения постановление суда апелляционной инстанции, суд округа исходил из установленных обстоятельств, с учетом которых суд апелляционной инстанции пришел к выводу о нарушении обществом, являющимся получателем субсидий, условий их предоставления, и наличии в его действиях состава административного правонарушения, ответственность за совершение которого предусмотрена частью 2 статьи 15.15.5 Кодекса Российской Федерации об административных правонарушениях. Признавая вину общества в совершенном правонарушении, суды не усмотрели объективных препятствий для соблюдения правил и норм, за нарушение которых предусмотрена административная ответственность. Процедура и срок давности привлечения к ответственности соблюдены. Оснований для применения статьи 2.9 Кодекса Российской Федерации об административных правонарушениях не установлено. Ссылка на определение Судебной коллегии по экономическим спорам Верховного Суда Российской Федерации от 13.12.2018 № 305-АД18-14921 подлежит отклонению, поскольку рассматриваемый спор связан с предоставлением обществом недостоверных сведений для получения субсидии, а не привлечения общества к ответственности в связи с появлением иных документов, ранее не представлявшихся в ходе рассмотрения заявки на получение субсидии. Доводы жалобы получили исчерпывающую правовую оценку в обжалуемых судебных актах, не согласиться с которой оснований не имеется.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