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02.10.2018 в удовлетворении иска отказано. Тринадцатый арбитражный апелляционный суд постановлением от 05.04.2019 решение от 02.10.2018 изменил и взыскал 7 559 582 рубля 66 копеек страхового возмещения. Арбитражный суд Северо-Западного округа постановлением от 21.08.2019 постановление Тринадцатого арбитражного апелляционного суда от 05.04.2019 оставил без изменения. В кассационной жалобе общество «СОГАЗ» просит об отмене судебных актов апелляционного и окружного судов как незаконных вследствие противоречия вывода о наступлении страхового случая фактическим обстоятельствам дела и условиям страхования.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 страховщика о том, что груз не принимался к перевозке, а значит не был застрахован и страховой случай не наступил, неоснователен. Суд апелляционной инстанции, повторно рассмотревший дело, проверил обстоятельства передачи груза к перевозке и его утраты на соответствие условиям страхования, содержащимся в Правилах страхования, и по результату такой проверки признал за истцом право на страховое возмещение. Иная оценка заявителем установленных обстоятельств не составляет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«СОГАЗ»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