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Коми от 16.02.2019, оставленным без изменения постановлением Второго арбитражного апелляционного суда от 30.04.2019, в удовлетворении заявленного требования отказано. Постановлением Арбитражного суда Волго-Вятского округа от 03.09.2019 указанные судебные акты оставлены без изменения. В кассационной жалобе, поступившей в Верховный Суд Российской Федерации, общество просит отменить названные судебные акты, считая их принятыми с существенным нарушением норм материального и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Как следует из судебных актов, налоговый орган доначислил налог на добавленную стоимость, пени и налоговые санкции, признав получение обществом необоснованной налоговой выгоды в виде незаконного возмещения налога на добавленную стоимость по экспортным операциям. Отказывая в удовлетворении требования и признавая обоснованными выводы налогового органа, суды руководствовались положениями статей 169 , 171 , 172 Налогового кодекса Российской Федерации, с учетом правовой позиции, изложенной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выгоды». При этом суды исходили из того, что представленные налогоплательщиком первичные документы содержат недостоверные сведения и не подтверждают реальность хозяйственных операций со спорными контрагентами, у которых отсутствовали ресурсы для осуществления указанных налогоплательщиком хозяйственных операций, движение денежных средств носило транзитный характер. Доводы кассационной жалобы были предметом исследования судов и получили исчерпывающую правовую оценку применительно к установленным обстоятельствам,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