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08.07.2019, оставленным без изменения постановлением Двадцать первого арбитражного апелляционного суда от 27.08.2019, оспариваемое постановление по делу об административном правонарушении изменено в части назначенного наказания, штраф снижен со 100 000 рублей до 50 000 рублей. Общество обратилось в Верховный Суд Российской Федерации с кассационной жалобой,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Рассматривая настоящий спор, суды признали правомерным привлечение общества к административной ответственности, однако, учитывая положения частей 3.2, 3.3 статьи 4.1 Кодекса Российской Федерации об административных правонарушениях, а также такие критерии, обозначенные Конституционным Судом Российской Федерации в постановлении от 25.02.2014 № 4-П, как справедливость и соразмерность административного наказания, на основании оценки совокупности установленных по делу обстоятельств, посчитали возможным уменьшить размер административного штрафа ниже низшего предела, установив его в размере 50 000 рублей. В жалобе общество ссылается на наличие обстоятельств, при наличии которых возможно применить положения части 1 статьи 4.1.1 Кодекса Российской Федерации об административных правонарушениях, заменив административное наказание в виде штрафа на предупреждение. Между тем, судами при рассмотрении спора оснований для применения положений статьи 4.1.1 Кодекса Российской Федерации об административных правонарушениях не установлено. В соответствии с частью 1 статьи 4.1.1 Кодекса Российской Федерации об административных правонарушениях предупреждение как мера административного наказания в случаях, если оно не предусмотрено соответствующей статьей раздела II настоящего Кодекса, назначается взамен административного штрафа при наличии совокупности обстоятельств, установленных частью 2 статьи 3.4 Кодекса Российской Федерации об административных правонарушениях, в том числе при наличии у организации статуса субъекта малого предпринимательства. Доводов о том, что обществом представлялись в суд доказательства, подтверждающие указанную совокупность обстоятельств исходя из обстоятельств совершения правонарушения, в том числе, применительно к части 2 статьи 3.4 Кодекса, в жалобе не приведено. Из приложенных к жалобе материалов указанная совокупность обстоятельств также не усматривается. При этом штраф назначен судом первой инстанции ниже низшего предела санкции нормы. Несогласие общества с установленными судами фактическими обстоятельствами дела и оценкой доказательств, с толкованием норм законодательства, регулирующего спорные правоотношения, в силу статьи 291.6 Арбитражного процессуального кодекса Российской Федерации не является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