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26.04.2019 взыскано с области в лице министерства 1 187 500 рублей неосновательного обогащения. Второй арбитражный апелляционный суд постановлением от 19.07.2019 уточнил резолютивную часть решения от 26.04.2019, взыскав 1 187 500 рублей неосновательного обогащения с области в лице министерства за счет казны. Арбитражный суд Волго-Вятского округа постановлением от 17.10.2019 решение от 26.04.2019 и постановление Второго арбитражного апелляционного суда от 19.07.2019 оставил без изменения. В кассационной жалобе министерство просит об отмене указанных судебных актов как незаконных, ссылаясь на неправомерное определение спорной суммы в качестве неосновательного обогащения и право на удержание ее в качестве финансовой ответственности за систематическое нарушение в оформлении заявок.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действиях банка, повлекших отклонение заявок, судами не установлено систематического нарушения применительно к части 27 статьи 44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ее судебному толкованию. В отсутствие установленных законных условий для перечисления ответчику (заказчику) денежных средств, внесенных банком в качестве обеспечения заявок, суды правомерно признали их подлежащими возврату по правилу статьи 1102 Гражданского кодекса Российской Федерации. Иная оценка правовых оснований для удержания денежных средств, изложенная в жалобе,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