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31.01.2019 оставленным без изменения постановлением Девятнадцатого арбитражного апелляционного суда от 17.04.2019, иск удовлетворен. Арбитражный суд Центрального округа постановлением от 20.08.2019 решение от 31.01.2019 и постановление Девятнадцатого арбитражного апелляционного суда от 17.04.2019 оставил без изменения. В кассационной жалобе общество «Логос» просит об отмене указанных судебных актов как незаконных вследствие неправильного определения ответственного за причиненный вред лица.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Как установлено судами, союз возместил вред за причинившее его лицо, поэтому в силу статьи 1081 Гражданского кодекса Российской Федерации имеет право регресса к такому лицу. Деятельность по использованию башенного крана создает повышенную опасность, следовательно, в силу статьи 1079 Гражданского кодекса Российской Федерации ответственным за причиненный при ее осуществлении вред должен нести владелец источника повышенной опасности, каковым является ответчик. Ответственное за причиненный вред лицо установлено в решении Ленинского районного суда г.Воронежа от 13.04.2016 № 2-885/16 и им также является ответчик. Учитывая установленные обстоятельства, иск правомерно удовлетворен.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«Логос»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Источник повышенной опасности Судебная практика по применению нормы ст. 1079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