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«Социнвестбанк», правопреемником которого является общество «Банк Дом.РФ» (далее – банк), обратилось в суд с заявлением о включении в реестр требований кредиторов должника 142 793 524 рублей 43 копеек задолженности по кредитным договорам от 18.05.2016 № КБ739/КД/63-16 и от 09.06.2017 № КБ739-2017/КД/43. Определением Арбитражного суда Республики Башкортостан от 06.02.2019, оставленным без изменения постановлениями Восемнадцатого арбитражного апелляционного суда от 04.06.2019 и Арбитражного суда Уральского округа от 26.09.2019, требования банка признаны обоснованными и включены в третью очередь реестра.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53, 309, 363, 819 Гражданского кодекса Российской Федерации, статьей 71, 100,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12.07.2012 № 42 «О некоторых вопросах разрешения споров, связанных с поручительством», исходили из реальности и правомерности взаимоотношений банка и группы компаний «Нефтехимпромсервис» по выдаче кредитов и предоставления обеспечения возврата денежных средств, доказанности факта возникновения на стороне должника обязательств, поручительство которого на дату обращения не состоявшего с должником в одной группе лиц банка с соответствующим заявлением не прекратилось, и, как следствие, наличии оснований для включения требований в реестр.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«Система Инжиниринг»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