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21.01.2019 (резолютивная часть), принятым в порядке упрощенного судопроизводства, иск удовлетворен. Постановлением апелляционного суда от 20.05.2019, оставленным без изменения постановлением Арбитражного суда Северо-Западного округа от 05.09.2019, решение от 21.01.2019 отменено: дело рассмотрено по общим правилам искового производства, взысканы пени в сумме, эквивалентной 19 545 евро в рублях по курсу Центрального банка Российской Федерации на дату фактического исполнения решения суда, штраф в сумме, эквивалентной 19 545 евро в рублях по курсу Центрального банка Российской Федерации на дату фактического исполнения решения суда. В кассационной жалобе общество «Союзкомплектавтотранс» просит об отмене постановлений апелляционного и окружного судов как незаконных, ссылаясь на неосновательное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апелляционного суда, рассмотревшего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«Союзкомплектавтотранс»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