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29.05.2019, оставленным без изменения постановлением Пятнадцатого арбитражного апелляционного суда от 06.08.2019 и постановлением Арбитражного суда Северо-Кавказского округа от 18.10.2019, первоначальный иск удовлетворен, в удовлетворении встречного иска отказано. В кассационной жалобе компания просит о пересмотре судебных актов как незаконных вследствие отсутствия реальной поставки товара, неистребования у общества доказательств поставки товара, игнорирования оснований для оставления первоначального иска о взыскании неустойки без рассмотрения и мнимости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Осуществление реальной передачи товара в рамках договора от 31.08.2017 № 244П/2017 установлено судами на основании накладной, подписанной от имени компании уполномоченным лицом и скрепленной печатью, и актом сверки, подписанным тем же лицом. Указанные обстоятельства реального исполнения исключают мнимость сделки. Заявленная во встречном иске сумма признана уплаченной в счет спорной поставки, поэтому не имеющей признаков, указанных в статье 1102 Гражданского кодекса Российской Федерации, для взыскания ее в качестве неосновательного обогащения. Вопросы досудебного порядка урегулирования спора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«Альфа-Сервис»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