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07.02.2019, оставленным без изменения постановлением Девятого арбитражного апелляционного суда от 29.05.2019, взыскано 182 665 рублей неустойки. Арбитражный суд Московского округа постановлением от 03.09.2019 постановление Девятого арбитражного апелляционного суда от 29.05.2019 оставил без изменения. В кассационной жалобе Минобороны России просит об отмене указанных судебных актов как незаконных, ссылаясь на неприменение при рассмотрении спора Федерального закона от 05.04.2013 № 44-ФЗ «О контрактной системе в сфере закупок товаров, работ, услуг для государственных и муниципальных нужд».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Установив, что предметом государственного контракта от 28.10.2016 № 257/21/7510/126 является перевозка, суды правомерно руководствовались судебной практикой рассмотрения контрактных споров, признающей приоритет за специальным законодательством, в данном случае – регулирующим правоотношения по перевозке – статьей 97 Федерального закона от 10.01.2003 № 18-ФЗ «Устав железнодорожного транспорта Российской Федерации». Указание заявителя на соответствие представленного им расчета утвержденным постановлением Правительства Российской Федерации от 30.08.2017 № 1042 Правилам неосновательно, поскольку они устанавливают порядок определения размера санкции, начисляемой за ненадлежащее исполнение сторонами предусмотренных контрактом обязательств, за исключением просрочки исполнения, явившейся основанием для предъявления требования о взыскании неустойки по рассматриваемому делу.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Министерства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