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Кировской области от 27.02.2019, оставленным без изменения постановлением Второго арбитражного апелляционного суда от 06.06.2019 и постановлением Арбитражного суда Волго-Вятского округа от 18.09.2019, первоначальные и встречные требования удовлетворены частично и в результате зачета удовлетворенных требований с общества в пользу завода взыскано 78 039 рублей 63 копейки. В кассационной жалобе общество просит о пересмотре указанных судебных актов как незаконных вследствие игнорирования явно недобросовестного поведения завода.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Судебные акты основаны на итоге исследования и оценки доказательств исполнения договора поставки от 02.11.2017 № 49/СБ и соответствуют его условиям и нормам статей 457 , 506 , 516 Гражданского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«Крам»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 Судебная практика по: По договору поставки Судебная практика по применению норм ст. 506, 507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