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28.02.2019 взыскано 1 242 582 рубля неустойки. Девятый арбитражный апелляционный суд постановлением от 07.05.2019 отменил решение от 28.02.2019 и взыскал с 49 350 рублей 78 копеек неустойки. Арбитражный суд Московского округа постановлением от 30.08.2019 постановление Девятого арбитражного апелляционного суда от 07.05.2019 оставил без изменения. В кассационной жалобе Минобороны России просит об отмене указанных судебных актов вследствие неприменения Федерального закона от 05.04.2013 № 44-ФЗ «О контрактной системе в сфере закупок товаров, работ, услуг для государственных и муниципальных нужд».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предметом государственного контракта от 16.02.2017 № 257/604/5 является перевозка, суд апелляционной инстанции правомерно руководствовался судебной практикой рассмотрения контрактных споров, признающей приоритет за специальным законодательством, в данном случае – регулирующим правоотношения по перевозке – статье 97 Федерального закона от 10.01.2003 № 18-ФЗ «Устав железнодорожного транспорта Российской Федерации». Указание заявителя на соответствие представленного им расчета утвержденным постановлением Правительства Российской Федерации от 30.08.2017 № 1042 Правилам неосновательно, поскольку они устанавливают порядок определения размера санкции, начисляемой за ненадлежащее исполнение сторонами предусмотренных контрактом обязательств, за исключением просрочки исполнения, явившейся основанием для предъявления требования о взыскании неустойки по рассматриваемому делу.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Министерства обороны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