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04.02.2019, оставленным без изменения постановлением Десятого арбитражного апелляционного суда от 16.05.2019 и постановлением Арбитражного суда Московского округа от 02.09.2019, иск удовлетворен. В кассационной жалобе, поданной в Верховный Суд Российской Федерации, предприятие просит отменить указанные судебные акты, ссылаясь на их незаконность.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состоявшихся по делу судебных актов и доводов кассационной жалобы не установлено. Суды первой и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309 , 310 , 702 , 743 , 746 Гражданского кодекса Российской Федерации, установив факт неисполнения предприятием обязательств по оплате оказанных обществом услуг в рамках договора от 28.08.2018 № 5-ЭЖФ, пришли к выводу о наличии оснований для удовлетворения заявленных требований. С указанными выводами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 и не подтверждают существенных нарушений судами норм материального и процессуального права, повлиявших на исход дела. Учитывая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муниципального унитарного предприятия Щелковского муниципального района «Дирекция единого заказчика жилищно-коммунальных услуг»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Судьи дела: Чучунова Н.С. (судья) (подробнее)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