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«Риэлт. Строительство. Управление», общество с ограниченной ответственностью «РСУ», общество с ограниченной ответственностью «Черная Грива», ФИО2 и ФИО1 обратились в суд с заявлениями, впоследствии объединёнными в одно производство для совместного рассмотрения, о включении их требований в реестр требований кредиторов должника. Определением Арбитражного суда Самарской области от 16.01.2019, оставленным без изменения постановлениями Одиннадцатого арбитражного апелляционного суда от 12.04.2019 и Арбитражного суда Поволжского округа от 15.08.2019,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требований ФИО1, удовлетворить его требования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статей 19, 71 и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сделки, положенные в основу заявленных требований ФИО1, заключены между заинтересованными лицами при недоказанности экономической целесообразности и финансовой возможности их совершить с целью создания искусственной кредиторской задолженности и получения противоправным путём контроля над процедурой банкротства должника, пришли к выводу о том, что данные сделки являются мнимыми, совершёнными при злоупотреблении правом и обоснованно отказали в удовлетворении заявления о включении требования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