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28.02.2019, оставленным без изменения постановлением Семнадцатого арбитражного апелляционного суда от 09.07.2019 и постановлением Арбитражного суда Уральского округа от 16.10.2019, производство по первоначальному иску в части требования об обязании осуществить приемку продукции прекращено в связи с отказом от него; первоначальный иск удовлетворен частично, в удовлетворении встречного иска отказано. В кассационной жалобе общество «Автопласт-Сызрань» просит о пересмотре указанных судебных актов, указывая на несоблюдение договорного порядка приемки продукции.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Предусмотренный договором от 04.12.2017 № 1338 порядок приемки товара связан с проверкой качества. Применение отказа от оплаты товара покупателем (обществом «Автопласт-Сызрань») при установленном отсутствии доказанных претензий к качеству товара правомерно не признано судом, взыскавшим с покупателя задолженность за товар в соответствии со статьями 454 , 486 , 506 , 516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«Автопласт-Сызрань»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