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11.02.2019, оставленным без изменения постановлением Девятого арбитражного апелляционного суда от 17.05.2019 и постановлением Арбитражного суда Московского округа от 30.08.2019, в иске отказано. В кассационной жалобе общество «АВТоПРЕМЬЕР» просит об отмене указанных судебных актов как незаконных вследствие несоблюдения ответчиком согласованного порядка расторжения договора, подтверждения им действия договора и совершения действий с нарушением конкуренции.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Суды установили, что порядок прекращения договора от 11.08.2011 № РИ069 согласован в нем и ответчиком соблюден, поэтому признали отказ от договора соответствующим статьям 450 , 450.1 Гражданского кодекса Российской Федерации. Довод заявителя от неполучении уведомления о расторжении договора опровергается исследованными судом документами скорой почты DHL. В ситуации соблюдения согласованного порядка расторжения договора доводы о нарушении конкуренции и злоупотреблении со стороны ответчика неосновательны.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«АВТоПРЕМЬЕР»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