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12.04.2019, оставленным без изменения постановлением Двадцатого арбитражного апелляционного суда от 24.06.2019 и постановлением Арбитражного суда Центрального округа от 30.09.2019, в иске отказано. В кассационной жалобе общество «Мидиан» просит об отмене указанных судебных актов, указывая на непротиворечие закону и судебному акту перечисления денежных средств на счет взыскателя.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заявителя направлено на сложение обязанности по уплате в пользу ответчика процентов, следовательно, их обоснованность зависит от оценки действий ответчика, признанных судами правомерными в силу статей 313, 391.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«Мидиан»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