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06.11.2018 иск удовлетворен в заявленном объеме. Девятый арбитражный апелляционный суд постановлением от 05.02.2019 изменил решение от 06.11.2018 в части взыскания неустойки, уменьшив ее до 480 483 924 рублей 17 копеек; в остальной части решение оставил без изменения. Арбитражный суд Московского округа постановлением от 12.09.2019 постановление Девятого арбитражного апелляционного суда от 05.02.2019 оставил без изменения. В кассационной жалобе общество «Восток бурение» просит об отмене постановлений апелляционного и окружного судов, ссылаясь на явную несоразмерность неустойки и неправильное применение статьи 333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уменьшил подлежащую взысканию неустойку на основании установленных обстоятельств спора с учетом критериев, определенных статьей 333 Гражданского кодекса Российской Федерации, поэтому довод заявителя о несоразмерности взысканной неустойки не подтвержден.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«Восток бурение»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