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04.03.2019, оставленным без изменения постановлением Восемнадцатого арбитражного апелляционного суда от 17.05.2019, общество привлечено к административной ответственности, предусмотренной частью 3 статьи 14.1 Кодекса Российской Федерации об административных правонарушениях и ему назначено наказание в виде штрафа в размере 30 000 рублей. Постановлением Арбитражного суда Уральского округа от 23.08.2019 указанные судебные акты оставлены без изменения. Общество в кассационной жалобе просит указанные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в арбитражный суд с соответствующим заявлением послужили выводы административного органа об осуществлении обществом частной охранной деятельности с нарушением требований и условий, предусмотренных лицензией. Оценив представленные доказательства и установив несоответствие руководителя и учредителей организации предъявляемым к ним требованиям, несоблюдение требований к информированию персонала и посетителей объектов охраны об осуществлении внутриобъектового и пропускного режимов, отсутствие должностной инструкции о действиях персонала по обеспечению внутриобъектового и пропускного режимов, охранник оказывал услуги по охране объекта в специальной форменной одежде, не позволяющей определить принадлежность его к конкретной частной охранной организации, руководствуясь положениями части 3 статьи 12 , статьи 15.1 Закона Российской Федерации от 11.03.1992 № 2487-1 «О частной детективной и охранной деятельности в Российской Федерации», подпункта «б», «в», «г» пункта 2.1, пункта 7 Положения о лицензировании частной охранной деятельности, утвержденного постановлением Правительства Российской Федерации от 23.06.2011 № 498, суды пришли к выводу о наличии в действиях общества состава правонарушения, ответственность за которое предусмотрена частью 3 статьи 14.1 Кодекса Российской Федерации об административных правонарушениях.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Доводы жалобы о соответствии руководителя и учредителей организации предъявляемым к ним требованиям не свидетельствуют об отсутствии события правонарушения по иным эпизодам и сами по себе не опровергают выводы судов о наличии в действиях общества нарушения лицензионных требований. Иные доводы жалобы были предметом исследования судов и получили исчерпывающую правовую оценку,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