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18.02.2019, оставленным без изменения постановлением Девятнадцатого арбитражного апелляционного суда от 30.04.2019, в удовлетворении иска отказано. Арбитражный суд Центрального округа постановлением от 26.08.2019 решение от 18.02.2019 и постановление Девятнадцатого арбитражного апелляционного суда от 30.04.2019 оставил без изменения. В кассационной жалобе общество «Трансгруз» просит об отмене судебных актов вследствие отсутствия законного основания для освобождения перевозчика от ответственности за повреждение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обстоятельства перевозки, установили ненадлежащую документальную фиксацию повреждения груза, влияющую на доказывание размера убытков. Изменение оценки доказательств размера убытков не охватывается основаниями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«Трансгруз»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