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12.03.2019, оставленным без изменения постановлением Девятнадцатого арбитражного апелляционного суда от 28.06.2019, первоначальные исковые требования удовлетворены частично, в удовлетворении встречного иска отказано. Постановлением Арбитражного суда Центрального округа от 11.09.2019 решение и постановление суда апелляционной инстанции отменены вследствие неполного исследования обстоятельств дела, дело направлено на новое рассмотрение в Арбитражный суд Липецкой области. В кассационной жалобе общество «Торговый дом «АгрокС» просит о пересмотре постановления окружного суда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законности судебных актов окружной суд установил неисследование судами нижестоящих инстанций обстоятельств, связанных с качеством товара, необходимых для разрешения спора, поэтому направил дело на новое рассмотрение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«АгрокС»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