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16.05.2016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административного штрафа в размере 30 000 рублей. Общество обратилось в Арбитражный суд Хабаровского края с заявлением о пересмотре по новым обстоятельствам решения суда первой инстанции, ссылаясь на правовую позицию, изложенную в Постановлении Конституционного Суда Российской Федерации от 15.01.2019 № 3-П, согласно которой срок давности привлечения к административной ответственности по статье 14.1 Кодекса Российской Федерации об административных правонарушениях составляет три месяца, а, соответственно, на момент вынесения судом первой инстанции решения срок давности привлечения общества к административной ответственности истек. Определением Арбитражного суда Хабаровского края от 15.05.2019, оставленным без изменения постановлением Шестого арбитражного апелляционного суда от 30.07.2019, обществу отказано в удовлетворении заявления о пересмотре судебного акта по новым обстоятельствам. Постановлением Арбитражного суда Дальневосточного округа от 08.10.2019 указанные судебные акты оставлены без изменения. Общество просит отменить обжалуемые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Нарушение прав, возникшее до принятия Постановления Конституционного Суда Российской Федерации от 15.01.2019 № 3-П, в рассматриваемой ситуации подлежит устранению судами в порядке главы 37 Арбитражного процессуального кодекса Российской Федерации только по отношению к незавершенным правоотношениям. Между тем, поскольку решение суда первой инстанции исполнено 26.05.2016 путем уплаты назначенного административного штрафа, оснований для удовлетворения заявления общества о пересмотре судебного акта по новым обстоятельствам у судов не имелось. В определениях Верховного Суда Российской Федерации, на которые ссылается общество, указано, что процессуальное законодательство не препятствует арбитражным судам по заявлениям лиц, не принимавших участие в конституционном судопроизводстве, пересматривать по новым обстоятельствам судебные акты, основываясь на решениях Конституционного Суда Российской Федерации, в которых выявлен конституционно-правовой смысл тех или иных нормативных положений. Такой пересмотр, однако, не может производиться без надлежащего волеизъявления заинтересованных субъектов и учета требований законодательства. Наличие материальных и процессуальных предпосылок, а также возможных препятствий для пересмотра решений (в том числе относительно факта исполнения судебного акта) подлежит установлению по заявлению обратившегося лица тем судом, к компетенции которого отнесен такой пересмотр, при соблюдении общих правил судопроизводства.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