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предприниматель) обратился в Арбитражный суд города Москвы с иском к обществу с ограниченной ответственностью «Стройгазконсалтинг» (далее – общество) о взыскании 1 540 887 руб. 31 коп. процентов за пользование чужими денежными средствами за период с 21.08.2015 по 13.06.2018 (с учетом уменьшения размера исковых требований в порядке статьи 49 Арбитражного процессуального кодекса Российской Федерации). Решением Арбитражного суда города Москвы от 04.12.2018, оставленным без изменения постановлением Девятого арбитражного апелляционного суда от 28.03.2019 и постановлением Арбитражного суда Московского округа от 25.06.2019,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материалы дела и приведенные в жалобе доводы, судья Верховного Суда Российской Федерации считает, что имеются основания для передачи кассационной жалобы предпринимателя вместе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между обществом (генподрядчик) и обществом с ограниченной ответственностью «Нефтегазпроводстврой» (субподрядчик, далее - компания) заключен договор субподряда от 01.06.2013 № СГК-13-152/17 (далее – договор). В рамках дела № А40-75671/2016 рассмотрен иск компании к обществу о взыскании 6 186 075 руб. 37 коп. задолженности по договору. Вступившим в законную силу решением Арбитражного суда города Москвы от 16.12.2016 по указанному делу иск удовлетворен. По договору уступки прав (требований) от 08.06.2018 компания (цедент) уступила предпринимателю (цессионарий) право требования задолженности общества в размере 6 186 075 руб. 37 коп., возникшей из договора и взысканной решением суда по делу № А40-75671/2016. Согласно пункту 1.2 названного договора права требования переходят к цессионарию в том объеме и на тех условиях, которые существовали к моменту перехода права, включая права требования денежных средств в счет уплаты основного долга, процентов, пеней, штрафов, процентов за пользование чужими денежными средствами, неустойки за нарушение сроков выполнения работ, расходов по уплате государственной пошлины и прав по обеспечению названных обстоятельств, в том числе залога, поручительств, гарантий. Предприниматель 06.07.2018 направил в адрес общества уведомление о смене кредитора с требованием об уплате задолженности и процентов за пользование чужими денежными средства. Поскольку указанные требования оставлены обществом без удовлетворения, предприниматель обратился в арбитражный суд с настоящим иском. Отказывая в удовлетворении иска, суды трех инстанций руководствовались статьями 195 , 196 , 199 , 200 , 207 , 309 , 310 , 382 , 384 , 395 Гражданского кодекса Российской Федерации, разъяснениями, приведенными в пункте 26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и исходили из пропуска истцом срока исковой давности, о применении которой заявлено ответчиком в ходе рассмотрения дела. При этом, указав, что о нарушении своего права субподрядчику было известно с 2013 по 2014 год (с учетом дат оформления сторонами справок по форме КС-3 и направления компанией в адрес общества счетов-фактур), а с настоящим иском предприниматель обратился в суд 21.08.2018, суды пришли к выводу о том, что срок исковой давности по главному требованию истек и, следовательно, истек также срок давности по дополнительному требованию (о взыскании процентов). В кассационной жалобе предприниматель выражает несогласие с указанными выводами судов и полагает, что к спорным отношениям не применяется правило статьи 207 Гражданского кодекса Российской Федерации. Заявитель, ссылаясь на положения статьи 395 Гражданского кодекса Российской Федерации и разъяснения, содержащиеся в пункте 25 Постановления № 43, считает, что поскольку проценты за пользование чужими денежными средствами взимаются за каждый день просрочки, обязательство по их уплате считается возникшим не с момента просрочки исполнения основного обязательства, а с истечением периода, за который эти проценты начисляются; срок исковой давности по требованиям об уплате процентов должен исчисляться по каждому просроченному платежу за соответствующий период; так как истцом заявлено требование о взыскании процентов, начисленных за трехлетний период, предшествующий дате предъявления иска, срок исковой давности не истек.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ФИО1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12 декабря 2019 года на 12 часов 00 минут в помещении суда по адресу: Москва, улица Поварская, дом 15, зал № 3048 (подъезд 5).Судья Верховного Суда Российской Федерации Н.С. Чучунова Суд: Верховный Суд РФ (подробнее) Ответчики: ООО "Стройгазконсалтинг" (подробнее) Судьи дела: Чучунова Н.С. (судья) (подробнее) Последние документы по делу: Резолютивная часть постановления от 12 декабря 2019 г. по делу № А40-195567/2018 Определение от 19 декабря 2019 г. по делу № А40-195567/2018 Определение от 15 ноября 2019 г. по делу № А40-195567/2018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