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10.03.2019, оставленным без изменения постановлением Второго арбитражного апелляционного суда от 16.05.2019, в удовлетворении заявленного требования отказано. Постановлением Арбитражного суда Волго-Вятского округа от 23.08.2019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антимонопольный орган в решении от 16.06.2017 признал нарушением части 1 статьи 10 Федерального закона от 26.07.2006 № 135-ФЗ «О защите конкуренции» действия сетевой компании, включившей в стоимость услуг по размещению на объектах инфраструктуры (опорах) волоконно-оптических линий связи затраты, не предусмотренные законодательством (на выполнение проектно-изыскательских работ, на возмещение убытков владельцам земельных участков, на которых расположены опоры. Указанные обстоятельства послужили основанием для составления протокола об административном правонарушении и вынесения антимонопольным органом оспариваемого постановления о привлечении сетевой компании к ответственности по части 1 статьи 14.31 Кодекса Российской Федерации об административных правонарушениях. Частью 1 статьи 14.31 Кодекса Российской Федерации об административных правонарушениях предусмотрена ответственность за совершение занимающим доминирующее положение на товарном рынке хозяйствующим субъектом, за исключением субъекта естественной монополии,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недопущение, ограничение или устранение конкуренции. Оценив представленные доказательства и установив, что действия сетевой компании представляют собой злоупотребление доминирующим положением, включив в сумму стоимости услуг по размещению волоконно- оптических линий связи сумму не предусмотренных законом затрат, организация ущемила интересы третьих лиц, создав угрозу их ухода с товарного рынка по оказанию услуг связи, руководствуясь положениями Федерального закона от 26.07.2006 № 135-ФЗ «О защите конкуренции», суды пришли к выводу о наличии в действиях сетевой компании состава правонарушения, ответственность за совершение которого предусмотрена частью 1 статьи 14.31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штраф назначен в пределах санкции нормы.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Поскольку все юридически значимые обстоятельства при рассмотрении дела об административном нарушении, имеющие существенное значение для разрешения спора, установлены судом на основании полного и всестороннего исследования имеющихся в деле доказательств, которым дана оценка, оснований для удовлетворения жалобы и отмены или изменения обжалуемых судебных актов не имеется.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