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05.04.2019, оставленным без изменения постановлением Девятого арбитражного апелляционного суда от 21.06.2019, в удовлетворении заявленного требования отказано. Постановлением Арбитражного суда Московского округа от 16.09.2019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налогового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 Суды признали, что изменение срока платежа только в ведомости банковского контроля само по себе не свидетельствует ни об изменении условий контракта о сроке оплаты, ни о ведении работы, направленной на получение валютной выручки на счет в уполномоченном банке. Оснований для иной оценки указанных обстоятельств по доводам жалобы не имеется.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