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23.11.2018, оставленным без изменения постановлением Восьмого арбитражного апелляционного суда от 17.04.2019, заявленное требование удовлетворено. Постановлением Арбитражного суда Западно-Сибирского округа от 26.08.2019 судебные акты отменены и в удовлетворении требования общества отказано. В кассационной жалобе, поданной в Верховный Суд Российской Федерации, общество просит отменить постановление суда округа, ссылаясь на существенное нарушение норм права, и оставить в силе судебные акты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судебным приставом совершены действия по обращению взыскания на принадлежащее должнику право получения платежей по аренде недвижимого имущества в рамках договора от 25.02.2016 № 41-НМЮ, заключенного с ИП ФИО1 Признавая постановление об обращении взыскания незаконным, суд первой инстанции исходил из недопустимости обращения взыскания на денежные средства, подлежащие уплате должнику в будущем. Суд апелляционной инстанции, оставляя решение суда без изменения, дополнительно указал на нарушение судебным приставом порядка очередности обращения взыскания на имущество должника, установленного частью 1 статьи 94 Федерального закона от 02.10.2007 № 229-ФЗ «Об исполнительном производстве» (далее - Закон об исполнительном производстве). Отменяя судебные акты, суд округа, руководствуясь положениями статей 68, 69, 75, 76, 94 Закона об исполнительном производстве, пришел к выводу о законности постановления судебного пристава. Суд округа исходил из того, что право получения арендных платежей отнесено к имущественным правам и подлежит взысканию в ходе исполнительного производства во вторую очередь. Поскольку материалы дела не содержат доказательств наличия у общества денежных средств и иного имущества, подлежащего взысканию в первоочередном порядке и достаточного для исполнения требований исполнительных документов, судебный пристав обоснованно обратил взыскание на имущественное право должника. Доводы, изложенные в кассационной жалобе, направлены на переоценку исследованных доказательств и с учетом установленных обстоятельств не свидетельствуют о нарушении судом округа норм материального и процессуального права, повлиявших на исход дела. При таких обстоятельствах, оснований для передачи кассационной жалобы на рассмотрение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«Ишиммаркетинг»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