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16.03.2019, оставленным без изменения постановлением Второго арбитражного апелляционного суда от 20.06.2019 и постановлением Арбитражного суда Волго-Вятского округа от 03.09.2019, исковое требование удовлетворено частично, с Ярославской области в лице департамента строительства в пользу муниципального образования «город Ярославль» в лице мэрии города Ярославля взыскано 1 561 144 рубля 44 копейки убытков. В удовлетворении остальной части иска отказано. В кассационной жалобе, поданной в Верховный Суд Российской Федерации, департамент строительства, ссылаясь на существенное нарушение норм права, просит отменить судебные акты и отказать в удовлетворении иска.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трех инстанций, руководствуясь положениями статей 8 , 12 , 15 , 16 , 393 , 1069 Гражданского кодекса Российской Федерации, статей 51 , 58 Жилищного кодекса Российской Федерации, статей 84 , 135 – 138 , 158 Бюджетного кодекса Российской Федерации, статей 17, 28.2 Федерального закона от 24.11.1995 № 181-ФЗ «О социальной защите инвалидов в Российской Федерации», постановлением Правительства Ярославской области от 11.01.2010 № 1-п «Об утверждении Порядка предоставления мер социальной поддержки по обеспечению жильем отдельных категорий граждан за счет средств федерального бюджета и признании утратившим силу постановления Администрации области от 01.02.2006 № 32», Правилами предоставления субвенций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 боевых действий, инвалидов и семей, имеющих детей-инвалидов, утвержденными постановлением Правительства Российской Федерации от 15.10.2005 № 614, разъяснениями, изложенными в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пришли к выводу о доказанности истцом наличия совокупности обстоятельств для удовлетворения требования о взыскании убытков в заявленном размере. Судебные инстанции исходили из того, что обеспечение жилым помещением граждан - инвалидов, признанных нуждающимися в предоставлении жилья и поставленных на соответствующий учет до 01.01.2005, являясь расходным обязательством Российской Федерации, подлежит финансированию субъектом Российской Федерации - Ярославской областью за счет субвенций, полученных из федерального бюджета. При этом обязанность по перечислению субъекту субвенций на реализацию полномочий по обеспечению жильем инвалидов Российской Федерацией исполнена и у Ярославской области оставались неизрасходованные средства. Доводы, изложенные в кассационной жалобе, в том числе об отсутствии в резолютивной части решения суда указания на источник выплат и о неверном определении ответчика, являлись предметом рассмотрения судов и получили надлежащую правовую оценку. Приведенные доводы основаны на ином применении департаментом строительства положений законодательства к установленным обстоятельствам спора, не свидетельствуют о нарушении судами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строительства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