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01.04.2019, оставленным без изменения постановлением Девятого арбитражного апелляционного суда от 13.06.2019, в удовлетворении заявленного требования отказано. Постановлением Арбитражного суда Московского округа от 17.09.2019 указанные судебные акты оставлены без изменения. В кассационной жалобе, поступившей в Верховный Суд Российской Федерации, общество просит отменить принятые по делу судебные акты, ссылаясь на допущенные, по его мнению, существенные нарушения норм материального и процессуального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изложенные в жалобе доводы,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основанием для привлечения к ответственности послужили выводы налогового органа о невыполнении обществом в установленный срок обязанности по получению на свои банковские счета в уполномоченном банке иностранной валюты за переданные нерезидентам товары по экспортному контракту. Частью 4 статьи 15.25 Кодекса Российской Федерации об административных правонарушениях предусмотрена ответственность за невыполнение резидентом в установленный срок обязанности по получению на свои банковские счета в уполномоченных банках иностранной валюты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Оценив представленные доказательства, руководствуясь положениями Федерального закона от 10.12.2003 № 173-ФЗ «О валютном регулировании и валютном контроле», суды пришли к выводу о наличии в действиях общества состава административного правонарушения, ответственность за которое предусмотрена частью 4 статьи 15.25 Кодекса Российской Федерации об административных правонарушениях. При этом суды исходили из того, что общество имело возможность для соблюдения требований валютного законодательства, однако не приняло все зависящие от него меры по их соблюдению; продление обществом финансовых обязательств нерезидента на основании писем не является разумной и достаточной мерой для обеспечения поступления валютной выручки. Суды признали, что изменение срока платежа только в ведомости банковского контроля само по себе не свидетельствует ни об изменении условий контракта о сроке оплаты, ни о ведении работы, направленной на получение валютной выручки на счет в уполномоченном банке. Оснований для иной оценки указанных обстоятельств по доводам жалобы не имеется. Приведенные в жалобе доводы, идентичные изложенным в обоснование позиции общества при рассмотрении дела, подробно исследованы судами и им дана исчерпывающая правовая оценка в обжалуемых судебных актах.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