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Дагестан от 12.04.2019, оставленным без изменения постановлением Шестнадцатого арбитражного апелляционного суда от 24.06.2019, в удовлетворении заявленного требования отказано. Постановлением Арбитражного суда Северо-Кавказского округа от 30.08.2019 указанные судебные акты оставлены без изменения. Общество в кассационной жалобе просит названные судебные акты отменить, считая их принятыми с существенными нарушениями норм материального и процессуального права.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рассмотрении доводов жалобы и принятых по делу судебных актов оснований для удовлетворения упомянутой жалобы не установлено. Как следует из судебных актов, основанием для привлечения к ответственности послужили выводы административного органа о нарушении обществом условий лицензии на осуществление деятельности по проведению экспертизы промышленной безопасности, поскольку заявитель, не имея возможности исполнять лицензионные требования в отсутствие в штате экспертов с соответствующей аттестацией и имущества, не прекратил деятельность по проведению экспертиз промышленной безопасности. Частью 1 статьи 9.1 Кодекса Российской Федерации об административных правонарушениях предусмотрена ответственность за нарушение требований промышленной безопасности или условий лицензий на осуществление видов деятельности в области промышленной безопасности опасных производственных объектов. Оценив представленные доказательства, руководствуясь положениями Федерального закона от 21.07.1997 № 116-ФЗ «О промышленной безопасности опасных производственных объектов», Федерального закона от 04.05.2011 № 99-ФЗ «О лицензировании отдельных видов деятельности», Положения о лицензировании деятельности по проведению экспертизы промышленной безопасности, утвержденного постановлением Правительства Российской Федерации от 04.07.2012 № 682, суды пришли к выводу о наличии в действиях общества состава правонарушения, ответственность за совершение которого предусмотрена частью 1 статьи 9.1 Кодекса Российской Федерации об административных правонарушениях. Вина общества состоит в том, что им как лицензиатом не были приняты все необходимые и достаточные меры для надлежащего исполнения обязательных требований и условий лицензий. Процедура и срок давности привлечения к ответственности соблюдены, оснований для признания применения положений статьи 2.9 и статьи 4.1.1 Кодекса Российской Федерации об административных правонарушениях судами не установлено. Доводы жалобы были предметом исследования судов и получили исчерпывающую правовую оценку в обжалуемых судебных актах,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