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26.11.2018, оставленным без изменения постановлением Восьмого арбитражного апелляционного суда от 22.04.2019, заявленное требование удовлетворено. Постановлением Арбитражного суда Западно-Сибирского округа от 23.08.2019 судебные акты отменены и в удовлетворении требования общества отказано. В кассационной жалобе, поданной в Верховный Суд Российской Федерации, общество просит отменить постановление суда округа, ссылаясь на существенное нарушение норм права, и оставить в силе судебные акты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судебным приставом совершены действия по обращению взыскания на принадлежащее должнику право получения платежей по аренде недвижимого имущества в рамках договора от 25.02.2016 № 41-НМЮ, заключенного с ООО «Элемент-Трейд». Признавая постановление об обращении взыскания незаконным, суд первой инстанции исходил из недопустимости обращения взыскания на денежные средства, подлежащие уплате должнику в будущем. Суд апелляционной инстанции признал ошибочным данный вывод суда первой инстанции, вместе с тем оставляя решение без изменения, пришел к выводу о нарушении судебным приставом порядка очередности обращения взыскания на имущество должника, установленного частью 1 статьи 94 Федерального закона от 02.10.2007 № 229-ФЗ «Об исполнительном производстве» (далее - Закон об исполнительном производстве). Отменяя судебные акты, суд округа, руководствуясь положениями статей 68, 69, 75, 76, 94 Закона об исполнительном производстве, пришел к выводу о законности постановления судебного пристава. Суд округа исходил из того, что право получения арендных платежей отнесено к имущественным правам и подлежит взысканию в ходе исполнительного производства во вторую очередь. Поскольку материалы дела не содержат доказательств наличия у общества денежных средств и иного имущества, подлежащего взысканию в первоочередном порядке и достаточного для исполнения требований исполнительных документов, непосредственно не участвующего в производстве товаров (выполнении работ, оказании услуг), судебный пристав обоснованно обратил взыскание на имущественное право должника. Доводы, изложенные в кассационной жалобе, направлены на переоценку исследованных доказательств и с учетом установленных обстоятельств не свидетельствуют о нарушении судом округа норм материального и процессуального права, повлиявших на исход дела. При таких обстоятельствах, оснований для передачи кассационной жалобы на рассмотрение Судебной коллегии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«Ишиммаркетинг»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