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14.02.2019, оставленным без изменения постановлением Восемнадцатого арбитражного апелляционного суда от 17.06.2019 и постановлением Арбитражного суда Уральского округа от 10.09.2019,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предприятие (покупатель) и общество (поставщик) 10.03.2016 заключили договор № 114, по условиям которого последнее обязалось изготовить, поставить товар (модульное здание), включая монтаж, сборку, и сдать его по акту приемки законченного строительством объекта. Предприятие, ссылаясь на нарушение обществом сроков исполнения обязательств по договору, обратилось в арбитражный суд с настоящим иском. Встречный иск мотивирован просрочкой оплаты по договору.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и квалифицировав его как смешанный, содержащий в себе элементы договоров поставки и подряда, руководствуясь статьями 307 , 309 , 310 , 330 , 421 , 506 , 702 , 720 Гражданского кодекса Российской Федерации, установив факт нарушения обществом сроков поставки товара, выполнения монтажных и пусконаладочных работ, пришли к выводу об обоснованности начисления предприятием неустойки в заявленном размере, в связи с чем удовлетворили первоначальный иск. Констатировав отсутствие в договоре условий, предусматривающих ответственность покупателя за просрочку внесения промежуточных авансовых платежей, суды отказали в удовлетворении встречного иска.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«Первоуральский завод модульных конструкций»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поставки Судебная практика по применению норм ст. 506, 507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