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29.03.2019, оставленным без изменения постановлением Девятого арбитражного апелляционного суда от 19.06.2019, в удовлетворении заявленного требования отказано. Постановлением Арбитражного суда Московского округа от 16.09.2019 указанные судебные акты оставлены без изменения. В кассационной жалобе, поступившей в Верховный Суд Российской Федерации, общество просит отменить принятые по делу судебные акты, ссылаясь на допущенные, по его мнению, существенные нарушения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послужили выводы налогового органа о невыполнении обществом в установленный срок обязанности по получению на свои банковские счета в уполномоченном банке иностранной валюты за переданные нерезидентам товары по экспортному контракту. Частью 4 статьи 15.25 Кодекса Российской Федерации об административных правонарушениях предусмотрена ответственность за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Оценив представленные доказательства, руководствуясь положениями Федерального закона от 10.12.2003 № 173-ФЗ «О валютном регулировании и валютном контроле», суды пришли к выводу о наличии в действиях общества состава административного правонарушения, ответственность за которое предусмотрена частью 4 статьи 15.25 Кодекса Российской Федерации об административных правонарушениях. При этом суды исходили из того, что общество имело возможность для соблюдения требований валютного законодательства, однако не приняло все зависящие от него меры по их соблюдению; продление обществом финансовых обязательств нерезидента на основании писем не является разумной и достаточной мерой для обеспечения поступления валютной выручки. Суды признали, что изменение срока платежа только в ведомости банковского контроля само по себе не свидетельствует ни об изменении условий контракта о сроке оплаты, ни о ведении работы, направленной на получение валютной выручки на счет в уполномоченном банке. Оснований для иной оценки указанных обстоятельств по доводам жалобы не имеется. Приведенные в жалобе доводы, идентичные изложенным в обоснование позиции общества при рассмотрении дела, подробно исследованы судами и им дана исчерпывающая правовая оценка в обжалуемых судебных актах.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