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05.04.2019, оставленным без изменения постановлением Девятого арбитражного апелляционного суда от 03.06.2019, в удовлетворении заявленного требования отказано. Постановлением Арбитражного суда Московского округа от 16.09.2019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ссылаясь на допущенные, по его мнению, существенные нарушения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налогового органа о невыполнении обществом в установленный срок обязанности по получению на свои банковские счета в уполномоченном банке иностранной валюты за переданные нерезидентам товары по экспортному контракту. Частью 4 статьи 15.25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Оценив представленные доказательства, руководствуясь положениями Федерального закона от 10.12.2003 № 173-ФЗ «О валютном регулировании и валютном контроле», суды пришли к выводу о наличии в действиях общества состава административного правонарушения, ответственность за которое предусмотрена частью 4 статьи 15.25 Кодекса Российской Федерации об административных правонарушениях. При этом суды исходили из того, что общество имело возможность для соблюдения требований валютного законодательства, однако не приняло все зависящие от него меры по их соблюдению; продление обществом финансовых обязательств нерезидента на основании писем не является разумной и достаточной мерой для обеспечения поступления валютной выручки. Суды признали, что изменение срока платежа только в ведомости банковского контроля само по себе не свидетельствует ни об изменении условий контракта о сроке оплаты, ни о ведении работы, направленной на получение валютной выручки на счет в уполномоченном банке. Оснований для иной оценки указанных обстоятельств по доводам жалобы не имеется. Приведенные в жалобе доводы, идентичные изложенным в обоснование позиции общества при рассмотрении дела, подробно исследованы судами и им дана исчерпывающая правовая оценка в обжалуемых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