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27.06.2019, оставленным без изменения постановлением Пятого арбитражного апелляционного суда 20.08.2019, в удовлетворении заявленного требования отказано. Общество обратилось в Верховный Суд Российской Федерации с кассационной жалобой, в которой просит названные судебные акты отменить, ссылаясь на допущенные, по его мнению, существенные нарушения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 установленный таможенным органом факт несоблюдения обществом запретов и ограничений на ввоз товара. Статьей 16.3 Кодекса Российской Федерации об административных правонарушениях установлена ответственность за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частью 3 статьи 16.2 настоящего Кодекса. Оценив представленные доказательства и установив отсутствие доказательств, подтверждающих, что декларируемые товары ввезены для собственных (производственных) целей, отчуждаться и передаваться третьим лицам на территории Российской Федерации не будут, а также о том, что они будут вывезены с таможенной территории Таможенного союза в определенные сроки, руководствуясь положениями Таможенного кодекса Евразийского экономического союза, Технического регламента Таможенного союза ТР ТС 017/2011 «О безопасности продукции легкой промышленности», Положения о порядке ввоза на таможенную территорию ЕАЭС продукции (товаров), в отношении которой устанавливаются обязательные требования в рамках ЕАЭС, утвержденного решением Коллегии Евразийской экономической комиссии от 25.12.2012 № 294, суды пришли к выводу о наличии в действиях общества состава правонарушения, ответственность за совершение которого предусмотрена статьей 16.3 Кодекса Российской Федерации об административных правонарушениях. При этом суды исходили из того, что необходимым условием при декларировании ввезенных товаров является наличие разрешительного документа, подтверждающего соблюдение запретов и ограничений, мер защиты внутреннего рынка, который обществом при декларировании представлен не был. Общество имело возможность для выполнения возложенных на него обязанностей по соблюдению требований таможенного законодательства в части представления при подачи декларации на товары сведений, каких-либо объективных препятствий к соблюдению требований таможенного законодательства судами не установлено. Нарушений процедуры проведения проверки и привлечения общества к административной ответственности суды не установили. Доводы жалобы были предметом исследования судов и получили исчерпывающую правовую оценку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