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21.05.2019, оставленным без изменения постановлением Девятого арбитражного апелляционного суда от 17.07.2019, в удовлетворении заявленного требования отказано. Постановлением Арбитражного суда Московского округа от 16.09.2019 указанные судебные акты оставлены без изменения. В кассационной жалобе, поступившей в Верховный Суд Российской Федерации, общество просит отменить принятые по делу судебные акты, ссылаясь на допущенные, по его мнению, существенные нарушения норм материального и процессуального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изложенные в жалобе доводы,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основанием для привлечения к ответственности послужили выводы налогового органа о невыполнении обществом в установленный срок обязанности по получению на свои банковские счета в уполномоченном банке иностранной валюты за переданные нерезидентам товары по экспортному контракту. Частью 4 статьи 15.25 Кодекса Российской Федерации об административных правонарушениях предусмотрена ответственность за невыполнение резидентом в установленный срок обязанности по получению на свои банковские счета в уполномоченных банках иностранной валюты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Оценив представленные доказательства, руководствуясь положениями Федерального закона от 10.12.2003 № 173-ФЗ «О валютном регулировании и валютном контроле», суды пришли к выводу о наличии в действиях общества состава административного правонарушения, ответственность за которое предусмотрена частью 4 статьи 15.25 Кодекса Российской Федерации об административных правонарушениях. При этом суды исходили из того, что общество имело возможность для соблюдения требований валютного законодательства, однако не приняло все зависящие от него меры по их соблюдению; продление обществом финансовых обязательств нерезидента на основании писем не является разумной и достаточной мерой для обеспечения поступления валютной выручки. Суды признали, что изменение срока платежа только в ведомости банковского контроля само по себе не свидетельствует ни об изменении условий контракта о сроке оплаты, ни о ведении работы, направленной на получение валютной выручки на счет в уполномоченном банке. Оснований для иной оценки указанных обстоятельств по доводам жалобы не имеется. Приведенные в жалобе доводы, идентичные изложенным в обоснование позиции общества при рассмотрении дела, подробно исследованы судами и им дана исчерпывающая правовая оценка в обжалуемых судебных актах.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