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новом рассмотрении дела после отмены ранее состоявшихся судебных актов Арбитражный суд Свердловской области определением от 17.12.2018, оставленным без изменения постановлением Арбитражного суда Уральского округа от 02.09.2019, утвердил заключенное между министерством и обществом мировое соглашение и прекратил производство по делу. В кассационной жалобе, поданной в Верховный Суд Российской Федерации, общество просит отменить указанные судебные акты, ссылаясь на нарушение судами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обжалуемых судебных актов и доводов кассационной жалобы не установлено. Утверждая мировое соглашение, суд первой инстанции руководствовался положениями статей 139 - 141 Арбитражного процессуального кодекса Российской Федерации и исходил из того, что данное соглашение не противоречит закону и не нарушает законные интересы других лиц.С указанными выводами впоследствии согласился суд округа.Доводы кассационной жалобы не опровергают выводы судов и не свидетельствуют о наличии оснований для передачи жалобы на рассмотрение в судебном заседании.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«Совхоз «Сухоложский»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