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28.02.2019, оставленным без изменения постановлением Пятнадцатого арбитражного апелляционного суда от 11.06.2019, в удовлетворении заявленного требования отказано. Постановлением Арбитражного суда Северо-Кавказского округа от 20.08.2019 указанные судебные акты оставлены без изменения. В кассационной жалобе общество просит названные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составления протокола и принятия соответствующего постановления послужил выявленный административным органом факт неисполнения обществом в установленный срок (до 28.09.2018) предписания об устранении нарушений законодательства в сфере безопасности гидротехнического сооружения. Оценив представленные доказательства, руководствуясь положениями Федерального закона от 21.07.1997 № 117-ФЗ «О безопасности гидротехнических сооружений», суды пришли к выводу о наличии в действиях общества состава правонарушения, ответственность за совершение которого предусмотрена частью 11 статьи 19.5 Кодекса Российской Федерации об административных правонарушениях. Суды указали, что общество имело возможность не допустить правонарушение, однако не предприняло всех зависящих от него мер, направленных на соблюдение установленных требований. Судами установлено, что процедура и срок давности привлечения к административной ответственности соблюдены, оснований для освобождения общества от ответственности ввиду малозначительности правонарушения не имеется. Вопреки доводам жалобы извещение общества о проведении административным органом отдельных процессуальных действий не может быть признано ненадлежащим, поскольку Кодекс Российской Федерации об административных правонарушениях не содержит оговорок о необходимости направления извещения исключительно каким-либо определенным способом. При этом в жалобе общество не указывает, какие конкретно документы оно было лишено представить, либо иным способом обосновать свою позицию по делу. Иные доводы жалобы были предметом рассмотрения судов и получили исчерпывающую правовую оценку, в том числе, исходя из характеристик спорного объекта, не согласиться с которой оснований не имеется. Указанные доводы направлены на переоценку доказательств и установление иных фактических обстоятельств дела,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