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Нижегородской области от 24.12.2018 заявленное требование удовлетворено частично, решение инспекции признано недействительным в части доначисления 4 652 542 рублей налога на добавленную стоимость (далее - НДС) по подпункту 1 пункта 2.1.1 решения по эпизоду взаимоотношений с ООО «НижегородГлавСтрой», 740 532 рублей НДС по подпункту 2 пункта 2.1.1 решения, а также соответствующих сумм пени и штрафа. В удовлетворении заявления в остальной части отказано. Постановлением Первого арбитражного апелляционного суда от 10.04.2019, оставленным без изменения постановлением Арбитражного суда Волго-Вятского округа от 27.08.2019, решение суда первой инстанции отменено в отношении доначислений НДС по эпизоду взаимоотношений с ООО «НижегородГлавСтрой», в указанной части в удовлетворении требования отказано. В остальной части решение суда оставлено без изменения.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 судов апелляционной инстанции и округа и оставить в силе решение суда первой инстанции.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основанием для принятия решения в оспоренной части послужил вывод инспекции о создании обществом искусственного документооборота, направленного на получение необоснованной налоговой выводы в виде применения вычетов по НДС по хозяйственным операциям с ООО «НижегородГлавСтрой» по договорам поставки товара. Удовлетворяя заявленное требование частично, суд первой инстанции исходил из недоказанности налоговым органом направленности хозяйственных операций между обществом и указанным контрагентом на получение налоговой выгоды в отсутствие намерения осуществлять реальную экономическую деятельность, отсутствия доказательств невозможности поставки контрагентом товара, указанного в представленных документах, и проявления обществом осмотрительности при выборе контрагента. Отменяя решение суда, суд апелляционной инстанции, повторно оценив представленные в материалы дела доказательства, руководствуясь статьями 169 , 171 , 172 Налогового кодекса Российской Федерации, учитывая разъяснения, изложенные в постановлении Пленума Высшего Арбитражного Суда Российской Федерации от 12.10.2006 № 53 «Об оценке арбитражными судами обоснованности получения налогоплательщиком налоговой выгоды», пришел к выводу о наличии у инспекции правовых оснований для принятия решения в оспоренной части, с чем согласился суд округа. Судебные инстанции исходили из доказанности налоговым органом совокупности обстоятельств, свидетельствующих о создании обществом формального документооборота, направленного на получение из бюджета необоснованной налоговой выгоды. Суды указали, что представленные обществом документы не отвечают установленным требованиям, содержат недостоверные сведения и не подтверждают реальности хозяйственных операций с заявленным в них контрагентом, который не имел возможности поставить товар, в том числе в связи с наличием признаков номинальной организации, отсутствием необходимых условий для достижения результатов соответствующей экономической и предпринимательской деятельности. Кроме того, характер движения денежных средств не свидетельствует об осуществлении контрагентом реальной хозяйственной деятельности. Доводы, изложенные в кассационной жалобе, в том числе о реальности хозяйственных операций с контрагентами, являлись предметом рассмотрения судов апелляционной инстанции и округа, получили правовую оценку с учетом установленных обстоятельств по делу. По существу доводы жалобы направлены на переоценку доказательств и установление по делу иных фактических обстоятельств, не свидетельствуют о существенном нарушении норм материального и процессуального права, повлиявших на исход дела, и не могут служить основанием для передачи жалобы на рассмотрение в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«Торговый дом СПК»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СудаРоссийской Федерации М.К. Антонова Суд: Верховный Суд РФ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