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Санкт-Петербурга и Ленинградской области от 31.01.2019, оставленным без изменения постановлением Тринадцатого арбитражного апелляционного суда от 22.05.2019 и постановлением Арбитражного суда Северо-Западного округа от 12.09.2019, с сервиса в пользу общества взыскано 545 000 руб. задолженности, 13 900 руб. в возмещение расходов по уплате государственной пошлины, 95 000 руб. в возмещение расходов по оплате экспертизы; в удовлетворении встречного иска отказано. В кассационной жалобе, поданной в Верховный Суд Российской Федерации, сервис, ссылаясь на нарушение судами норм материального права, неполное исследование фактических обстоятельств дела, просит отменить указанные судебные акты в части отказа в удовлетворении встречного иска.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Разрешая спор в обжалуемой части,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393 , 721 , 723 Гражданского кодекса Российской Федерации, исходили из отсутствия оснований для привлечения общества к гражданско-правовой ответственности в виде взыскания убытков, в частности, ввиду недоказанности сервисом возникновения у него убытков по вине общества, а также причинно-следственной связи между действиями (бездействием) последнего и возникновением убытков.С указанными выводами впоследствии согласился суд округа. Доводы кассационной жалобы не опровергают выводы судов, направлены на переоценку обстоятельств дела, установленных судами, и не подтверждают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«Аварийно-спасательное формирование «Сервис Безопасности»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