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04.04.2019, оставленным без изменения постановлением Девятого арбитражного апелляционного суда от 03.06.2019, в удовлетворении заявленного требования отказано. Постановлением Арбитражного суда Московского округа от 17.09.2019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ссылаясь на допущенные, по его мнению, судами существенные нарушения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налогового органа о невыполнении обществом в установленный срок обязанности по получению на свои банковские счета в уполномоченном банке иностранной валюты за переданные нерезидентам товары по экспортному контракту. Частью 4 статьи 15.25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Оценив представленные доказательства, руководствуясь положениями Федерального закона от 10.12.2003 № 173-ФЗ «О валютном регулировании и валютном контроле», суды пришли к выводу о наличии в действиях общества состава административного правонарушения, ответственность за которое предусмотрена частью 4 статьи 15.25 Кодекса Российской Федерации об административных правонарушениях. При этом суды исходили из того, что общество имело возможность для соблюдения требований валютного законодательства, однако не приняло все зависящие от него меры по их соблюдению; продление обществом финансовых обязательств нерезидента на основании писем не является разумной и достаточной мерой для обеспечения поступления валютной выручки. Суды признали, что изменение срока платежа только в ведомости банковского контроля само по себе не свидетельствует ни об изменении условий контракта о сроке оплаты, ни о ведении работы, направленной на получение валютной выручки на счет в уполномоченном банке. Оснований для иной оценки указанных обстоятельств по доводам жалобы не имеется. Приведенные в жалобе доводы, идентичные изложенным в обоснование позиции общества при рассмотрении дела, подробно исследованы судами и им дана исчерпывающая правовая оценка в обжалуемых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