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18.12.2018, оставленным без изменения постановлением Тринадцатого арбитражного апелляционного суда от 30.04.2019, иск удовлетворен. Арбитражный суд Северо-Западного округа постановлением от 22.08.2019 решение от 18.12.2018 и постановление Тринадцатого арбитражного апелляционного суда от 30.04.2019 оставил без изменения. В кассационной жалобе предприятие просит об отмене указанных судебных актов как незаконных вследствие неустановления условий для взыскания убытков в заявленном размере.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 возникновения убытков и доказательства их размера были предметом исследования и оценки судов в рамках законной компетенции. Доводы предприятия о недоказанности убытков в связи с повреждением торгового оборудования и товаров в магазине и упущенной выгоды противоречат установленным судами обстоятельствам и не создают оснований для пересмотра судебных актов в кассационном порядке.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Санкт-петербургскому государственному унитарному предприятию «Горэлектротранс»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